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1A" w:rsidRPr="0060141A" w:rsidRDefault="0060141A" w:rsidP="0060141A">
      <w:pPr>
        <w:spacing w:after="14" w:line="269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Основной целью обучения иностранному языку в начальных классах является формирование </w:t>
      </w:r>
      <w:r w:rsidRPr="0060141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элементарной коммуникативной компетенции 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младшего школьника на доступном уровне речевой деятельности: </w:t>
      </w:r>
      <w:proofErr w:type="spellStart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аудировании</w:t>
      </w:r>
      <w:proofErr w:type="spellEnd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говорении, чтении и письме. </w:t>
      </w:r>
    </w:p>
    <w:p w:rsidR="0060141A" w:rsidRPr="0060141A" w:rsidRDefault="0060141A" w:rsidP="0060141A">
      <w:pPr>
        <w:spacing w:after="22" w:line="259" w:lineRule="auto"/>
        <w:ind w:left="42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141A" w:rsidRPr="0060141A" w:rsidRDefault="0060141A" w:rsidP="0060141A">
      <w:pPr>
        <w:spacing w:after="79" w:line="259" w:lineRule="auto"/>
        <w:ind w:left="115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Цели и задачи курса: </w:t>
      </w:r>
    </w:p>
    <w:p w:rsidR="0060141A" w:rsidRPr="0060141A" w:rsidRDefault="0060141A" w:rsidP="0060141A">
      <w:pPr>
        <w:numPr>
          <w:ilvl w:val="0"/>
          <w:numId w:val="1"/>
        </w:numPr>
        <w:spacing w:after="69" w:line="269" w:lineRule="auto"/>
        <w:ind w:right="1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Формирование 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умения общаться на иностранном </w:t>
      </w:r>
      <w:proofErr w:type="gramStart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языке</w:t>
      </w:r>
      <w:proofErr w:type="gramEnd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аудирование</w:t>
      </w:r>
      <w:proofErr w:type="spellEnd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говорение) и письменной (чтение и письмо) формах; </w:t>
      </w:r>
    </w:p>
    <w:p w:rsidR="0060141A" w:rsidRPr="0060141A" w:rsidRDefault="0060141A" w:rsidP="0060141A">
      <w:pPr>
        <w:numPr>
          <w:ilvl w:val="0"/>
          <w:numId w:val="1"/>
        </w:numPr>
        <w:spacing w:after="69" w:line="269" w:lineRule="auto"/>
        <w:ind w:right="1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Приобщение 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 </w:t>
      </w:r>
    </w:p>
    <w:p w:rsidR="0060141A" w:rsidRPr="0060141A" w:rsidRDefault="0060141A" w:rsidP="0060141A">
      <w:pPr>
        <w:numPr>
          <w:ilvl w:val="0"/>
          <w:numId w:val="1"/>
        </w:numPr>
        <w:spacing w:after="69" w:line="269" w:lineRule="auto"/>
        <w:ind w:right="1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Развитие 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общеучебных</w:t>
      </w:r>
      <w:proofErr w:type="spellEnd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умений; развитие мотивации к дальнейшему овладению иностранным языком; </w:t>
      </w:r>
    </w:p>
    <w:p w:rsidR="0060141A" w:rsidRPr="0060141A" w:rsidRDefault="0060141A" w:rsidP="0060141A">
      <w:pPr>
        <w:numPr>
          <w:ilvl w:val="0"/>
          <w:numId w:val="1"/>
        </w:numPr>
        <w:spacing w:after="167" w:line="269" w:lineRule="auto"/>
        <w:ind w:right="1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Воспитание 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разностороннее </w:t>
      </w:r>
      <w:r w:rsidRPr="0060141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развитие 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школьника средствами иностранного языка. </w:t>
      </w:r>
    </w:p>
    <w:p w:rsidR="0060141A" w:rsidRPr="0060141A" w:rsidRDefault="0060141A" w:rsidP="0060141A">
      <w:pPr>
        <w:spacing w:after="229" w:line="269" w:lineRule="auto"/>
        <w:ind w:left="7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С учетом сформулированных целей изучение предмета «Иностранный язык» направлено на решение следующих </w:t>
      </w:r>
      <w:r w:rsidRPr="0060141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60141A" w:rsidRPr="0060141A" w:rsidRDefault="0060141A" w:rsidP="0060141A">
      <w:pPr>
        <w:numPr>
          <w:ilvl w:val="0"/>
          <w:numId w:val="1"/>
        </w:numPr>
        <w:spacing w:after="36" w:line="269" w:lineRule="auto"/>
        <w:ind w:right="1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Формирование представлений 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 иностранном языке как средстве общения,  позволяющем добиваться взаимопонимания с людьми, говорящими или пишущими на иностранном языке, узнавать новое через звучащие и письменные тексты; </w:t>
      </w:r>
    </w:p>
    <w:p w:rsidR="0060141A" w:rsidRPr="0060141A" w:rsidRDefault="0060141A" w:rsidP="0060141A">
      <w:pPr>
        <w:numPr>
          <w:ilvl w:val="0"/>
          <w:numId w:val="1"/>
        </w:numPr>
        <w:spacing w:after="36" w:line="269" w:lineRule="auto"/>
        <w:ind w:right="1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Расширение лингвистического кругозора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 </w:t>
      </w:r>
    </w:p>
    <w:p w:rsidR="0060141A" w:rsidRPr="0060141A" w:rsidRDefault="0060141A" w:rsidP="0060141A">
      <w:pPr>
        <w:numPr>
          <w:ilvl w:val="0"/>
          <w:numId w:val="1"/>
        </w:numPr>
        <w:spacing w:after="36" w:line="269" w:lineRule="auto"/>
        <w:ind w:right="1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Обеспечение коммуникативно-психологической 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адаптации детей к новому языковому миру для преодоления в дальнейшем психологического барьера и использования иностранного языка как средства общения; </w:t>
      </w:r>
    </w:p>
    <w:p w:rsidR="0060141A" w:rsidRPr="0060141A" w:rsidRDefault="0060141A" w:rsidP="0060141A">
      <w:pPr>
        <w:numPr>
          <w:ilvl w:val="0"/>
          <w:numId w:val="1"/>
        </w:numPr>
        <w:spacing w:after="36" w:line="269" w:lineRule="auto"/>
        <w:ind w:right="1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Развитие личностных качеств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 </w:t>
      </w:r>
    </w:p>
    <w:p w:rsidR="0060141A" w:rsidRPr="0060141A" w:rsidRDefault="0060141A" w:rsidP="0060141A">
      <w:pPr>
        <w:numPr>
          <w:ilvl w:val="0"/>
          <w:numId w:val="1"/>
        </w:numPr>
        <w:spacing w:after="14" w:line="269" w:lineRule="auto"/>
        <w:ind w:right="1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Развитие эмоциональной сферы 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детей в процессе обучающих игр, учебных спектаклей с использованием иностранного языка; </w:t>
      </w:r>
    </w:p>
    <w:p w:rsidR="0060141A" w:rsidRPr="0060141A" w:rsidRDefault="0060141A" w:rsidP="0060141A">
      <w:pPr>
        <w:numPr>
          <w:ilvl w:val="0"/>
          <w:numId w:val="1"/>
        </w:numPr>
        <w:spacing w:after="36" w:line="269" w:lineRule="auto"/>
        <w:ind w:right="1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Приобщение младших школьников 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  </w:t>
      </w:r>
    </w:p>
    <w:p w:rsidR="0060141A" w:rsidRPr="0060141A" w:rsidRDefault="0060141A" w:rsidP="0060141A">
      <w:pPr>
        <w:numPr>
          <w:ilvl w:val="0"/>
          <w:numId w:val="1"/>
        </w:numPr>
        <w:spacing w:after="14" w:line="269" w:lineRule="auto"/>
        <w:ind w:right="1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60141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Духовно-нравственное воспитание школьника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понимание и соблюдение им таких нравственных устоев семьи как любовь к близким, взаимопомощь, уважение к родителям, забота о младших; </w:t>
      </w:r>
      <w:proofErr w:type="gramEnd"/>
    </w:p>
    <w:p w:rsidR="0060141A" w:rsidRPr="0060141A" w:rsidRDefault="0060141A" w:rsidP="0060141A">
      <w:pPr>
        <w:numPr>
          <w:ilvl w:val="0"/>
          <w:numId w:val="1"/>
        </w:numPr>
        <w:spacing w:after="14" w:line="269" w:lineRule="auto"/>
        <w:ind w:right="11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lastRenderedPageBreak/>
        <w:t xml:space="preserve">Развитие познавательных способностей, 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овладение умением координирования работы с разными компонентами учебно-методического комплекта (учебником, рабочей тетрадью, </w:t>
      </w:r>
      <w:proofErr w:type="spellStart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аудиоприложением</w:t>
      </w:r>
      <w:proofErr w:type="spellEnd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мультимедийным приложением и т.д.), умением работать в паре, в группе. </w:t>
      </w:r>
    </w:p>
    <w:p w:rsidR="0060141A" w:rsidRPr="0060141A" w:rsidRDefault="0060141A" w:rsidP="0060141A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141A" w:rsidRPr="0060141A" w:rsidRDefault="0060141A" w:rsidP="0060141A">
      <w:pPr>
        <w:spacing w:after="0" w:line="28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</w:t>
      </w:r>
    </w:p>
    <w:p w:rsidR="0060141A" w:rsidRPr="0060141A" w:rsidRDefault="0060141A" w:rsidP="0060141A">
      <w:pPr>
        <w:spacing w:after="0" w:line="282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Роль учебного курса в достижении </w:t>
      </w:r>
      <w:proofErr w:type="gramStart"/>
      <w:r w:rsidRPr="0060141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обучающимися</w:t>
      </w:r>
      <w:proofErr w:type="gramEnd"/>
      <w:r w:rsidRPr="0060141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планируемых результатов освоения основной образовательной программы школы </w:t>
      </w:r>
    </w:p>
    <w:p w:rsidR="0060141A" w:rsidRPr="0060141A" w:rsidRDefault="0060141A" w:rsidP="0060141A">
      <w:pPr>
        <w:spacing w:after="221" w:line="269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Предлагаемая рабочая программа предназначена для 2—4 классов общеобразовательных учреждений и составлена в соответствии с требованиями Федерального Государственного образовательного стандарта основного общего образования с учётом концепции </w:t>
      </w:r>
      <w:proofErr w:type="spellStart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духовнонравственного</w:t>
      </w:r>
      <w:proofErr w:type="spellEnd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воспитания и планируемых результатов освоения основной образовательной программы начального общего образования. Она имеет </w:t>
      </w:r>
      <w:r w:rsidRPr="0060141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гуманитарную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направленность и предназначена для получения </w:t>
      </w:r>
      <w:proofErr w:type="gramStart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обучающимися</w:t>
      </w:r>
      <w:proofErr w:type="gramEnd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начального общего образования в области английского языка. </w:t>
      </w:r>
    </w:p>
    <w:p w:rsidR="0060141A" w:rsidRPr="0060141A" w:rsidRDefault="0060141A" w:rsidP="0060141A">
      <w:pPr>
        <w:spacing w:after="168" w:line="259" w:lineRule="auto"/>
        <w:ind w:left="1309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Обоснование выбора содержания части программы по учебному предмету. </w:t>
      </w:r>
    </w:p>
    <w:p w:rsidR="0060141A" w:rsidRPr="0060141A" w:rsidRDefault="0060141A" w:rsidP="0060141A">
      <w:pPr>
        <w:numPr>
          <w:ilvl w:val="1"/>
          <w:numId w:val="1"/>
        </w:numPr>
        <w:spacing w:after="14" w:line="269" w:lineRule="auto"/>
        <w:ind w:right="11" w:firstLine="4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Соответствует Федеральному государственному образовательному стандарту начального общего образования.  </w:t>
      </w:r>
    </w:p>
    <w:p w:rsidR="0060141A" w:rsidRPr="0060141A" w:rsidRDefault="0060141A" w:rsidP="0060141A">
      <w:pPr>
        <w:numPr>
          <w:ilvl w:val="1"/>
          <w:numId w:val="1"/>
        </w:numPr>
        <w:spacing w:after="14" w:line="269" w:lineRule="auto"/>
        <w:ind w:right="11" w:firstLine="4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Рекомендована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общего образования.  </w:t>
      </w:r>
    </w:p>
    <w:p w:rsidR="0060141A" w:rsidRPr="0060141A" w:rsidRDefault="0060141A" w:rsidP="0060141A">
      <w:pPr>
        <w:keepNext/>
        <w:keepLines/>
        <w:spacing w:after="206" w:line="270" w:lineRule="auto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141A" w:rsidRPr="0060141A" w:rsidRDefault="0060141A" w:rsidP="0060141A">
      <w:pPr>
        <w:keepNext/>
        <w:keepLines/>
        <w:spacing w:after="206" w:line="27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</w:t>
      </w:r>
      <w:r w:rsidRPr="00601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Общая характеристика учебного предмета </w:t>
      </w:r>
    </w:p>
    <w:p w:rsidR="0060141A" w:rsidRPr="0060141A" w:rsidRDefault="0060141A" w:rsidP="0060141A">
      <w:pPr>
        <w:spacing w:after="14" w:line="269" w:lineRule="auto"/>
        <w:ind w:left="1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Деятельностный</w:t>
      </w:r>
      <w:proofErr w:type="spellEnd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межпредметныеобщеучебные</w:t>
      </w:r>
      <w:proofErr w:type="spellEnd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умения и навыки.  </w:t>
      </w:r>
    </w:p>
    <w:p w:rsidR="0060141A" w:rsidRPr="0060141A" w:rsidRDefault="0060141A" w:rsidP="0060141A">
      <w:pPr>
        <w:spacing w:after="14" w:line="269" w:lineRule="auto"/>
        <w:ind w:left="1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Учебно-методический комплект «Английский в фокусе» предназначен для учащихся 2—4 классов общеобразовательных  учреждений и рассчитан на </w:t>
      </w:r>
      <w:proofErr w:type="spellStart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два</w:t>
      </w:r>
      <w:hyperlink r:id="rId6"/>
      <w:hyperlink r:id="rId7">
        <w:r w:rsidRPr="0060141A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часа</w:t>
        </w:r>
      </w:hyperlink>
      <w:hyperlink r:id="rId8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spellEnd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неделю. Комплект создан на основе Примерных программ по иностранным языкам с учетом требований федерального компонента Государственного стандарта начального общего образования по иностранным языкам, а также в соответствии с Европейскими стандартами в области изучения иностранных языков, что является его отличительной особенностью. Знания и навыки учащихся, работающих по УМК «Английский в фокусе», по окончании начальной школы соотносятся с общеевропейским уровнем А</w:t>
      </w:r>
      <w:proofErr w:type="gramStart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proofErr w:type="gramEnd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области изучения английского языка. Учащиеся этого уровня понимают и могут употреблять в речи знакомые фразы и выражения, </w:t>
      </w: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необходимые для выполнения конкретных задач. Они могут представиться, представить других, задавать/отвечать на вопросы в рамках известных им или интересующихся их тем. Они могут участвовать в несложном разговоре, если собеседник говорит медленно и отчетливо и готов оказать помощь. Они могут писать простые открытки (например, поздравление с праздником), заполнять формуляры, вносить в них свою фамилию, национальность, возраст и т. д. </w:t>
      </w:r>
    </w:p>
    <w:p w:rsidR="0060141A" w:rsidRPr="0060141A" w:rsidRDefault="0060141A" w:rsidP="0060141A">
      <w:pPr>
        <w:spacing w:after="14" w:line="269" w:lineRule="auto"/>
        <w:ind w:left="1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УМК «Английский в фокусе» поможет учащимся использовать английский язык эффективно и даст им возможность изучать его с удовольствием. В учебнике уделяется внимание развитию всех видов речевой деятельности (</w:t>
      </w:r>
      <w:proofErr w:type="spellStart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аудированию</w:t>
      </w:r>
      <w:proofErr w:type="spellEnd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говорению, чтению и письму) с помощью разнообразных коммуникативных заданий и упражнений. Особое внимание отводится проектной деятельности учащихся (разнообразные задания: создание плакатов, открыток, докладов). Материал организован таким образом, что позволяет регулярно повторять основные активные </w:t>
      </w:r>
      <w:proofErr w:type="spellStart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лексикограмматические</w:t>
      </w:r>
      <w:proofErr w:type="spellEnd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структуры и единицы. </w:t>
      </w:r>
    </w:p>
    <w:p w:rsidR="0060141A" w:rsidRPr="0060141A" w:rsidRDefault="0060141A" w:rsidP="0060141A">
      <w:pPr>
        <w:spacing w:after="14" w:line="269" w:lineRule="auto"/>
        <w:ind w:left="1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Модульный подход в серии «Английский в фокусе» позволяет осуществлять всестороннее развитие учащихся. Он дает им возможность разносторонне прорабатывать тему и учитывает особенности памяти. Учащимся предлагается участвовать в различных видах деятельности, таких, </w:t>
      </w:r>
      <w:proofErr w:type="spellStart"/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как</w:t>
      </w:r>
      <w:hyperlink r:id="rId9"/>
      <w:hyperlink r:id="rId10">
        <w:r w:rsidRPr="0060141A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ролевая</w:t>
        </w:r>
        <w:proofErr w:type="spellEnd"/>
        <w:r w:rsidRPr="0060141A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игра,</w:t>
        </w:r>
      </w:hyperlink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разучивание рифмовок с движениями, драматизация диалогов и сказки, интервьюирование одноклассников, создание проектов и их презентация и т. д. Вся работа направлена на развитие языковых навыков, умения «Учись</w:t>
      </w:r>
      <w:r w:rsidRPr="0060141A">
        <w:rPr>
          <w:rFonts w:ascii="Times New Roman" w:eastAsia="Times New Roman" w:hAnsi="Times New Roman" w:cs="Times New Roman"/>
          <w:color w:val="101314"/>
          <w:sz w:val="24"/>
          <w:lang w:eastAsia="ru-RU"/>
        </w:rPr>
        <w:t xml:space="preserve"> учиться» и на приобретение навыков общения.  </w:t>
      </w:r>
    </w:p>
    <w:p w:rsidR="0060141A" w:rsidRPr="0060141A" w:rsidRDefault="0060141A" w:rsidP="0060141A">
      <w:pPr>
        <w:spacing w:after="230" w:line="259" w:lineRule="auto"/>
        <w:ind w:left="42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141A" w:rsidRPr="0060141A" w:rsidRDefault="0060141A" w:rsidP="0060141A">
      <w:pPr>
        <w:keepNext/>
        <w:keepLines/>
        <w:spacing w:after="121" w:line="270" w:lineRule="auto"/>
        <w:ind w:left="2077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1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Описание места учебного предмета в учебном плане </w:t>
      </w:r>
    </w:p>
    <w:p w:rsidR="0060141A" w:rsidRPr="0060141A" w:rsidRDefault="0060141A" w:rsidP="0060141A">
      <w:pPr>
        <w:spacing w:after="0" w:line="270" w:lineRule="auto"/>
        <w:ind w:left="-3" w:right="-11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Согласно базисному (образовательному) плану образовательных учреждений РФ всего во 2, 3 и 4 классах на изучение иностранного языка в начальной школе выделяется 204 часа (2 часа в неделю, 34 учебные недели в каждом классе). </w:t>
      </w:r>
    </w:p>
    <w:p w:rsidR="0060141A" w:rsidRPr="0060141A" w:rsidRDefault="0060141A" w:rsidP="0060141A">
      <w:pPr>
        <w:spacing w:after="230" w:line="259" w:lineRule="auto"/>
        <w:ind w:left="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141A" w:rsidRPr="0060141A" w:rsidRDefault="0060141A" w:rsidP="0060141A">
      <w:pPr>
        <w:spacing w:after="18" w:line="259" w:lineRule="auto"/>
        <w:ind w:left="139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41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Таблица тематического распределения </w:t>
      </w:r>
      <w:proofErr w:type="spellStart"/>
      <w:r w:rsidRPr="0060141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количества</w:t>
      </w:r>
      <w:hyperlink r:id="rId11"/>
      <w:hyperlink r:id="rId12">
        <w:r w:rsidRPr="0060141A">
          <w:rPr>
            <w:rFonts w:ascii="Times New Roman" w:eastAsia="Times New Roman" w:hAnsi="Times New Roman" w:cs="Times New Roman"/>
            <w:b/>
            <w:color w:val="000000"/>
            <w:sz w:val="24"/>
            <w:lang w:eastAsia="ru-RU"/>
          </w:rPr>
          <w:t>часов</w:t>
        </w:r>
        <w:proofErr w:type="spellEnd"/>
      </w:hyperlink>
      <w:hyperlink r:id="rId13"/>
    </w:p>
    <w:tbl>
      <w:tblPr>
        <w:tblStyle w:val="TableGrid"/>
        <w:tblW w:w="9496" w:type="dxa"/>
        <w:tblInd w:w="413" w:type="dxa"/>
        <w:tblCellMar>
          <w:top w:w="218" w:type="dxa"/>
        </w:tblCellMar>
        <w:tblLook w:val="04A0" w:firstRow="1" w:lastRow="0" w:firstColumn="1" w:lastColumn="0" w:noHBand="0" w:noVBand="1"/>
      </w:tblPr>
      <w:tblGrid>
        <w:gridCol w:w="651"/>
        <w:gridCol w:w="3699"/>
        <w:gridCol w:w="713"/>
        <w:gridCol w:w="1266"/>
        <w:gridCol w:w="1217"/>
        <w:gridCol w:w="646"/>
        <w:gridCol w:w="645"/>
        <w:gridCol w:w="659"/>
      </w:tblGrid>
      <w:tr w:rsidR="0060141A" w:rsidRPr="0060141A" w:rsidTr="00E1105D">
        <w:trPr>
          <w:trHeight w:val="710"/>
        </w:trPr>
        <w:tc>
          <w:tcPr>
            <w:tcW w:w="682" w:type="dxa"/>
            <w:vMerge w:val="restart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after="19" w:line="259" w:lineRule="auto"/>
              <w:ind w:left="22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:rsidR="0060141A" w:rsidRPr="0060141A" w:rsidRDefault="0060141A" w:rsidP="0060141A">
            <w:pPr>
              <w:spacing w:line="259" w:lineRule="auto"/>
              <w:ind w:left="168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>/п</w:t>
            </w:r>
          </w:p>
        </w:tc>
        <w:tc>
          <w:tcPr>
            <w:tcW w:w="3997" w:type="dxa"/>
            <w:vMerge w:val="restart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nil"/>
            </w:tcBorders>
          </w:tcPr>
          <w:p w:rsidR="0060141A" w:rsidRPr="0060141A" w:rsidRDefault="0060141A" w:rsidP="0060141A">
            <w:pPr>
              <w:spacing w:line="259" w:lineRule="auto"/>
              <w:ind w:left="155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Разделы, темы</w:t>
            </w:r>
          </w:p>
        </w:tc>
        <w:tc>
          <w:tcPr>
            <w:tcW w:w="718" w:type="dxa"/>
            <w:vMerge w:val="restart"/>
            <w:tcBorders>
              <w:top w:val="single" w:sz="6" w:space="0" w:color="B58526"/>
              <w:left w:val="nil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00" w:type="dxa"/>
            <w:gridSpan w:val="5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60141A" w:rsidRPr="0060141A" w:rsidTr="00E1105D">
        <w:trPr>
          <w:trHeight w:val="1263"/>
        </w:trPr>
        <w:tc>
          <w:tcPr>
            <w:tcW w:w="0" w:type="auto"/>
            <w:vMerge/>
            <w:tcBorders>
              <w:top w:val="nil"/>
              <w:left w:val="single" w:sz="6" w:space="0" w:color="B58526"/>
              <w:bottom w:val="nil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B58526"/>
              <w:bottom w:val="nil"/>
              <w:right w:val="nil"/>
            </w:tcBorders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B58526"/>
            </w:tcBorders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1" w:type="dxa"/>
            <w:vMerge w:val="restart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Примерная </w:t>
            </w:r>
            <w:proofErr w:type="spellStart"/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</w:t>
            </w:r>
            <w:proofErr w:type="spellEnd"/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989" w:type="dxa"/>
            <w:vMerge w:val="restart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line="259" w:lineRule="auto"/>
              <w:ind w:left="5" w:hanging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>Рабочая программа</w:t>
            </w:r>
          </w:p>
        </w:tc>
        <w:tc>
          <w:tcPr>
            <w:tcW w:w="2110" w:type="dxa"/>
            <w:gridSpan w:val="3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>Рабочая программа по классам</w:t>
            </w:r>
          </w:p>
        </w:tc>
      </w:tr>
      <w:tr w:rsidR="0060141A" w:rsidRPr="0060141A" w:rsidTr="00E1105D">
        <w:trPr>
          <w:trHeight w:val="1166"/>
        </w:trPr>
        <w:tc>
          <w:tcPr>
            <w:tcW w:w="0" w:type="auto"/>
            <w:vMerge/>
            <w:tcBorders>
              <w:top w:val="nil"/>
              <w:left w:val="single" w:sz="6" w:space="0" w:color="B58526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B58526"/>
              <w:bottom w:val="single" w:sz="6" w:space="0" w:color="B58526"/>
              <w:right w:val="nil"/>
            </w:tcBorders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B58526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B58526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9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line="259" w:lineRule="auto"/>
              <w:ind w:left="9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 </w:t>
            </w:r>
            <w:proofErr w:type="spellStart"/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>кл</w:t>
            </w:r>
            <w:proofErr w:type="spellEnd"/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698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after="156" w:line="259" w:lineRule="auto"/>
              <w:ind w:left="9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 </w:t>
            </w:r>
            <w:proofErr w:type="spellStart"/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>кл</w:t>
            </w:r>
            <w:proofErr w:type="spellEnd"/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  <w:p w:rsidR="0060141A" w:rsidRPr="0060141A" w:rsidRDefault="0060141A" w:rsidP="0060141A">
            <w:pPr>
              <w:spacing w:line="259" w:lineRule="auto"/>
              <w:ind w:left="5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line="259" w:lineRule="auto"/>
              <w:ind w:left="9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4 </w:t>
            </w:r>
            <w:proofErr w:type="spellStart"/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>кл</w:t>
            </w:r>
            <w:proofErr w:type="spellEnd"/>
            <w:r w:rsidRPr="0060141A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</w:tr>
      <w:tr w:rsidR="0060141A" w:rsidRPr="0060141A" w:rsidTr="00E1105D">
        <w:trPr>
          <w:trHeight w:val="713"/>
        </w:trPr>
        <w:tc>
          <w:tcPr>
            <w:tcW w:w="68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997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nil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Знакомство </w:t>
            </w:r>
          </w:p>
        </w:tc>
        <w:tc>
          <w:tcPr>
            <w:tcW w:w="718" w:type="dxa"/>
            <w:tcBorders>
              <w:top w:val="single" w:sz="6" w:space="0" w:color="B58526"/>
              <w:left w:val="nil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69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698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1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60141A" w:rsidRPr="0060141A" w:rsidTr="00E1105D">
        <w:trPr>
          <w:trHeight w:val="710"/>
        </w:trPr>
        <w:tc>
          <w:tcPr>
            <w:tcW w:w="68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997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nil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Я и моя семья </w:t>
            </w:r>
          </w:p>
        </w:tc>
        <w:tc>
          <w:tcPr>
            <w:tcW w:w="718" w:type="dxa"/>
            <w:tcBorders>
              <w:top w:val="single" w:sz="6" w:space="0" w:color="B58526"/>
              <w:left w:val="nil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56 </w:t>
            </w:r>
          </w:p>
        </w:tc>
        <w:tc>
          <w:tcPr>
            <w:tcW w:w="69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698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71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18 </w:t>
            </w:r>
          </w:p>
        </w:tc>
      </w:tr>
      <w:tr w:rsidR="0060141A" w:rsidRPr="0060141A" w:rsidTr="00E1105D">
        <w:trPr>
          <w:trHeight w:val="710"/>
        </w:trPr>
        <w:tc>
          <w:tcPr>
            <w:tcW w:w="68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997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nil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Мир моих увлечений </w:t>
            </w:r>
          </w:p>
        </w:tc>
        <w:tc>
          <w:tcPr>
            <w:tcW w:w="718" w:type="dxa"/>
            <w:tcBorders>
              <w:top w:val="single" w:sz="6" w:space="0" w:color="B58526"/>
              <w:left w:val="nil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40 </w:t>
            </w:r>
          </w:p>
        </w:tc>
        <w:tc>
          <w:tcPr>
            <w:tcW w:w="69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698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71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  12 </w:t>
            </w:r>
          </w:p>
        </w:tc>
      </w:tr>
      <w:tr w:rsidR="0060141A" w:rsidRPr="0060141A" w:rsidTr="00E1105D">
        <w:trPr>
          <w:trHeight w:val="711"/>
        </w:trPr>
        <w:tc>
          <w:tcPr>
            <w:tcW w:w="68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3997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nil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Я и мои друзья </w:t>
            </w:r>
          </w:p>
        </w:tc>
        <w:tc>
          <w:tcPr>
            <w:tcW w:w="718" w:type="dxa"/>
            <w:tcBorders>
              <w:top w:val="single" w:sz="6" w:space="0" w:color="B58526"/>
              <w:left w:val="nil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36 </w:t>
            </w:r>
          </w:p>
        </w:tc>
        <w:tc>
          <w:tcPr>
            <w:tcW w:w="69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698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1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</w:tr>
      <w:tr w:rsidR="0060141A" w:rsidRPr="0060141A" w:rsidTr="00E1105D">
        <w:trPr>
          <w:trHeight w:val="713"/>
        </w:trPr>
        <w:tc>
          <w:tcPr>
            <w:tcW w:w="68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3997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nil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Моя школа </w:t>
            </w:r>
          </w:p>
        </w:tc>
        <w:tc>
          <w:tcPr>
            <w:tcW w:w="718" w:type="dxa"/>
            <w:tcBorders>
              <w:top w:val="single" w:sz="6" w:space="0" w:color="B58526"/>
              <w:left w:val="nil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69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698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1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</w:tr>
      <w:tr w:rsidR="0060141A" w:rsidRPr="0060141A" w:rsidTr="00E1105D">
        <w:trPr>
          <w:trHeight w:val="710"/>
        </w:trPr>
        <w:tc>
          <w:tcPr>
            <w:tcW w:w="68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3997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nil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Мир вокруг меня </w:t>
            </w:r>
          </w:p>
        </w:tc>
        <w:tc>
          <w:tcPr>
            <w:tcW w:w="718" w:type="dxa"/>
            <w:tcBorders>
              <w:top w:val="single" w:sz="6" w:space="0" w:color="B58526"/>
              <w:left w:val="nil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37 </w:t>
            </w:r>
          </w:p>
        </w:tc>
        <w:tc>
          <w:tcPr>
            <w:tcW w:w="69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698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71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18 </w:t>
            </w:r>
          </w:p>
        </w:tc>
      </w:tr>
      <w:tr w:rsidR="0060141A" w:rsidRPr="0060141A" w:rsidTr="00E1105D">
        <w:trPr>
          <w:trHeight w:val="710"/>
        </w:trPr>
        <w:tc>
          <w:tcPr>
            <w:tcW w:w="68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3997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nil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Страна / страны изучаемого языка </w:t>
            </w:r>
          </w:p>
        </w:tc>
        <w:tc>
          <w:tcPr>
            <w:tcW w:w="718" w:type="dxa"/>
            <w:tcBorders>
              <w:top w:val="single" w:sz="6" w:space="0" w:color="B58526"/>
              <w:left w:val="nil"/>
              <w:bottom w:val="single" w:sz="6" w:space="0" w:color="B58526"/>
              <w:right w:val="single" w:sz="6" w:space="0" w:color="B58526"/>
            </w:tcBorders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1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9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98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1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60141A" w:rsidRPr="0060141A" w:rsidTr="00E1105D">
        <w:trPr>
          <w:trHeight w:val="713"/>
        </w:trPr>
        <w:tc>
          <w:tcPr>
            <w:tcW w:w="682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lef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97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nil"/>
            </w:tcBorders>
          </w:tcPr>
          <w:p w:rsidR="0060141A" w:rsidRPr="0060141A" w:rsidRDefault="0060141A" w:rsidP="0060141A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18" w:type="dxa"/>
            <w:tcBorders>
              <w:top w:val="single" w:sz="6" w:space="0" w:color="B58526"/>
              <w:left w:val="nil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Итого: </w:t>
            </w:r>
          </w:p>
        </w:tc>
        <w:tc>
          <w:tcPr>
            <w:tcW w:w="1001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98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699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98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13" w:type="dxa"/>
            <w:tcBorders>
              <w:top w:val="single" w:sz="6" w:space="0" w:color="B58526"/>
              <w:left w:val="single" w:sz="6" w:space="0" w:color="B58526"/>
              <w:bottom w:val="single" w:sz="6" w:space="0" w:color="B58526"/>
              <w:right w:val="single" w:sz="6" w:space="0" w:color="B58526"/>
            </w:tcBorders>
            <w:vAlign w:val="center"/>
          </w:tcPr>
          <w:p w:rsidR="0060141A" w:rsidRPr="0060141A" w:rsidRDefault="0060141A" w:rsidP="0060141A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0141A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</w:tr>
    </w:tbl>
    <w:p w:rsidR="00F16C5A" w:rsidRDefault="00F16C5A">
      <w:bookmarkStart w:id="0" w:name="_GoBack"/>
      <w:bookmarkEnd w:id="0"/>
    </w:p>
    <w:sectPr w:rsidR="00F16C5A" w:rsidSect="006014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16DD"/>
    <w:multiLevelType w:val="hybridMultilevel"/>
    <w:tmpl w:val="86863F4A"/>
    <w:lvl w:ilvl="0" w:tplc="480078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E7770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E8AEE">
      <w:start w:val="1"/>
      <w:numFmt w:val="lowerRoman"/>
      <w:lvlText w:val="%3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252DA">
      <w:start w:val="1"/>
      <w:numFmt w:val="decimal"/>
      <w:lvlText w:val="%4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6CF264">
      <w:start w:val="1"/>
      <w:numFmt w:val="lowerLetter"/>
      <w:lvlText w:val="%5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AC6A2">
      <w:start w:val="1"/>
      <w:numFmt w:val="lowerRoman"/>
      <w:lvlText w:val="%6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80C88E">
      <w:start w:val="1"/>
      <w:numFmt w:val="decimal"/>
      <w:lvlText w:val="%7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107DCC">
      <w:start w:val="1"/>
      <w:numFmt w:val="lowerLetter"/>
      <w:lvlText w:val="%8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A60028">
      <w:start w:val="1"/>
      <w:numFmt w:val="lowerRoman"/>
      <w:lvlText w:val="%9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1A"/>
    <w:rsid w:val="0060141A"/>
    <w:rsid w:val="00F1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141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141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minschool35.ru/index.php/napravlenie-obrazovatelnoi-dejatelnosti/rab-programmi-12-13/ang-jaz-m/in-jaz/rp-injaz-2-4-fgos" TargetMode="External"/><Relationship Id="rId13" Type="http://schemas.openxmlformats.org/officeDocument/2006/relationships/hyperlink" Target="http://www.novominschool35.ru/index.php/napravlenie-obrazovatelnoi-dejatelnosti/rab-programmi-12-13/ang-jaz-m/in-jaz/rp-injaz-2-4-fgo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ovominschool35.ru/index.php/napravlenie-obrazovatelnoi-dejatelnosti/rab-programmi-12-13/ang-jaz-m/in-jaz/rp-injaz-2-4-fgos" TargetMode="External"/><Relationship Id="rId12" Type="http://schemas.openxmlformats.org/officeDocument/2006/relationships/hyperlink" Target="http://www.novominschool35.ru/index.php/napravlenie-obrazovatelnoi-dejatelnosti/rab-programmi-12-13/ang-jaz-m/in-jaz/rp-injaz-2-4-fg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minschool35.ru/index.php/napravlenie-obrazovatelnoi-dejatelnosti/rab-programmi-12-13/ang-jaz-m/in-jaz/rp-injaz-2-4-fgos" TargetMode="External"/><Relationship Id="rId11" Type="http://schemas.openxmlformats.org/officeDocument/2006/relationships/hyperlink" Target="http://www.novominschool35.ru/index.php/napravlenie-obrazovatelnoi-dejatelnosti/rab-programmi-12-13/ang-jaz-m/in-jaz/rp-injaz-2-4-fgo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ominschool35.ru/index.php/napravlenie-obrazovatelnoi-dejatelnosti/rab-programmi-12-13/ang-jaz-m/in-jaz/rp-injaz-2-4-fgo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ominschool35.ru/index.php/napravlenie-obrazovatelnoi-dejatelnosti/rab-programmi-12-13/ang-jaz-m/in-jaz/rp-injaz-2-4-fg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Шехкеримова Галина</dc:creator>
  <cp:lastModifiedBy>Шехкеримова Галина</cp:lastModifiedBy>
  <cp:revision>1</cp:revision>
  <dcterms:created xsi:type="dcterms:W3CDTF">2021-06-25T06:14:00Z</dcterms:created>
  <dcterms:modified xsi:type="dcterms:W3CDTF">2021-06-25T06:15:00Z</dcterms:modified>
</cp:coreProperties>
</file>